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line="240" w:lineRule="auto"/>
        <w:ind w:right="142"/>
        <w:contextualSpacing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Emilio Portes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ind w:left="-90" w:right="142"/>
        <w:contextualSpacing w:val="0"/>
        <w:jc w:val="center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Sobreviviente de la Ciudad de México y también del Centro de Capacitación Cinematográfica donde estudió cine. Portes ha construido una carrera alrededor de comedias desenfrenadas que coquetean con el terror y la fantasía, en un México actual. </w:t>
      </w:r>
    </w:p>
    <w:p w:rsidR="00000000" w:rsidDel="00000000" w:rsidP="00000000" w:rsidRDefault="00000000" w:rsidRPr="00000000" w14:paraId="00000003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Actualmente regresó a vestir Niños Dioses mientras espera estrenar su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cuarto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largometraje y 1er proyecto de terror titulado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rtl w:val="0"/>
        </w:rPr>
        <w:t xml:space="preserve">Belzebuth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estelarizado por Joaquín Cos</w:t>
      </w:r>
      <w:r w:rsidDel="00000000" w:rsidR="00000000" w:rsidRPr="00000000">
        <w:rPr>
          <w:rFonts w:ascii="Arial" w:cs="Arial" w:eastAsia="Arial" w:hAnsi="Arial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o (El Infierno) y Tobin Bell ( Saw: Juego Macabro)  y que gira en torno a una serie de infanticidios que podría estar ligados a la llegada de un demonio ancestral.</w:t>
      </w:r>
    </w:p>
    <w:p w:rsidR="00000000" w:rsidDel="00000000" w:rsidP="00000000" w:rsidRDefault="00000000" w:rsidRPr="00000000" w14:paraId="00000005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En 2011, su </w:t>
      </w:r>
      <w:r w:rsidDel="00000000" w:rsidR="00000000" w:rsidRPr="00000000">
        <w:rPr>
          <w:rFonts w:ascii="Arial" w:cs="Arial" w:eastAsia="Arial" w:hAnsi="Arial"/>
          <w:rtl w:val="0"/>
        </w:rPr>
        <w:t xml:space="preserve">segunda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película, su clásico navideño de Judiciales vs. Exorcistas titulado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astorela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abre en 2º Lugar de Taquilla, peleando dentro del Top 10 durante 6 semanas y llegando casi al millón de espectadores. En 2012 arrasa entre 14 nominaciones con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siete Premios Ariel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incluyendo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Mejor Película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Mejor Director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Guión</w:t>
      </w:r>
      <w:r w:rsidDel="00000000" w:rsidR="00000000" w:rsidRPr="00000000">
        <w:rPr>
          <w:rFonts w:ascii="Arial" w:cs="Arial" w:eastAsia="Arial" w:hAnsi="Arial"/>
          <w:rtl w:val="0"/>
        </w:rPr>
        <w:t xml:space="preserve">” y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Co-Actuación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para Carlos Cobos.</w:t>
      </w:r>
    </w:p>
    <w:p w:rsidR="00000000" w:rsidDel="00000000" w:rsidP="00000000" w:rsidRDefault="00000000" w:rsidRPr="00000000" w14:paraId="00000007">
      <w:pPr>
        <w:widowControl w:val="0"/>
        <w:ind w:left="-90"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En 2014, su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primer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película por encargo: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 crimen del cácaro Gumaro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, cierra con cr</w:t>
      </w:r>
      <w:r w:rsidDel="00000000" w:rsidR="00000000" w:rsidRPr="00000000">
        <w:rPr>
          <w:rFonts w:ascii="Arial" w:cs="Arial" w:eastAsia="Arial" w:hAnsi="Arial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ticas mezcladas pero con un millón y medio de espectadores. Siendo esta, la octava película mexicana más vista de del año.</w:t>
      </w:r>
    </w:p>
    <w:p w:rsidR="00000000" w:rsidDel="00000000" w:rsidP="00000000" w:rsidRDefault="00000000" w:rsidRPr="00000000" w14:paraId="00000009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142"/>
        <w:contextualSpacing w:val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En 2008, debuta con una comedia fantástica sobre un mago de quinta y una guillotina maldita, titulada: </w:t>
      </w:r>
      <w:r w:rsidDel="00000000" w:rsidR="00000000" w:rsidRPr="00000000">
        <w:rPr>
          <w:rFonts w:ascii="Arial" w:cs="Arial" w:eastAsia="Arial" w:hAnsi="Arial"/>
          <w:b w:val="1"/>
          <w:i w:val="1"/>
          <w:u w:val="no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onozca la cabeza de Juan Pérez</w:t>
      </w:r>
      <w:r w:rsidDel="00000000" w:rsidR="00000000" w:rsidRPr="00000000">
        <w:rPr>
          <w:rFonts w:ascii="Arial" w:cs="Arial" w:eastAsia="Arial" w:hAnsi="Arial"/>
          <w:rtl w:val="0"/>
        </w:rPr>
        <w:t xml:space="preserve">. L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a cinta gana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Mejor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pera Prima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en el Festival de Cine de Guadalajara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y el Premio de la Prensa en el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Festival de Guanajuato. En 2010 se llev</w:t>
      </w:r>
      <w:r w:rsidDel="00000000" w:rsidR="00000000" w:rsidRPr="00000000">
        <w:rPr>
          <w:rFonts w:ascii="Arial" w:cs="Arial" w:eastAsia="Arial" w:hAnsi="Arial"/>
          <w:rtl w:val="0"/>
        </w:rPr>
        <w:t xml:space="preserve">a cuatro Premios Ariel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de la Academia Mexicana de A</w:t>
      </w:r>
      <w:r w:rsidDel="00000000" w:rsidR="00000000" w:rsidRPr="00000000">
        <w:rPr>
          <w:rFonts w:ascii="Arial" w:cs="Arial" w:eastAsia="Arial" w:hAnsi="Arial"/>
          <w:rtl w:val="0"/>
        </w:rPr>
        <w:t xml:space="preserve">rtes y Ciencias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Cinemat</w:t>
      </w:r>
      <w:r w:rsidDel="00000000" w:rsidR="00000000" w:rsidRPr="00000000">
        <w:rPr>
          <w:rFonts w:ascii="Arial" w:cs="Arial" w:eastAsia="Arial" w:hAnsi="Arial"/>
          <w:rtl w:val="0"/>
        </w:rPr>
        <w:t xml:space="preserve">ográficas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en las categorías de Vestuario, Efectos Especiales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Coactuación Masculina con José Sefami y para P</w:t>
      </w:r>
      <w:r w:rsidDel="00000000" w:rsidR="00000000" w:rsidRPr="00000000">
        <w:rPr>
          <w:rFonts w:ascii="Arial" w:cs="Arial" w:eastAsia="Arial" w:hAnsi="Arial"/>
          <w:rtl w:val="0"/>
        </w:rPr>
        <w:t xml:space="preserve">ortes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 una nominación como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Mejor </w:t>
      </w:r>
      <w:r w:rsidDel="00000000" w:rsidR="00000000" w:rsidRPr="00000000">
        <w:rPr>
          <w:rFonts w:ascii="Arial" w:cs="Arial" w:eastAsia="Arial" w:hAnsi="Arial"/>
          <w:rtl w:val="0"/>
        </w:rPr>
        <w:t xml:space="preserve">Ó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pera Prima</w:t>
      </w:r>
      <w:r w:rsidDel="00000000" w:rsidR="00000000" w:rsidRPr="00000000">
        <w:rPr>
          <w:rFonts w:ascii="Arial" w:cs="Arial" w:eastAsia="Arial" w:hAnsi="Arial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u w:val="no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142"/>
        <w:contextualSpacing w:val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right="142"/>
        <w:contextualSpacing w:val="0"/>
        <w:jc w:val="center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-90" w:right="121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Filmografía</w:t>
      </w:r>
    </w:p>
    <w:p w:rsidR="00000000" w:rsidDel="00000000" w:rsidP="00000000" w:rsidRDefault="00000000" w:rsidRPr="00000000" w14:paraId="0000000E">
      <w:pPr>
        <w:widowControl w:val="0"/>
        <w:ind w:right="121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right="121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2014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 crimen del cácaro Gumaro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right="121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2011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Pastorela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right="121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2008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Conozca la cabeza de Juan Pérez</w:t>
      </w: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