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Francisco Vargas Quevedo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 productor y co-guionista de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Casa caracol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(2017), ópera prima de Jean Marc Rousseau; Co-guionista de la producción española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Los gigantes no existen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(2018), de Chema Rodríguez; Director, productor y guionista del largometraje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El Violín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(2006), filme que fue parte de la Selección Oficial del Festival de Cannes –Un Certain Regard, donde obtuvo el Premio al “Mejor Actor”; posteriormente, obtuvo más de 55 premios en los festivales más importantes del mundo. 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Previamente dirigió, produjo y fotografió el documental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Tierra Caliente, se mueren los que la mueven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(2001); además, el cortometraje también titulado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El Violín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(2004), con el que obtuvo el Premio “Mejor Corto Iberoamericano” en el XVII Festival Internacional de Cine de Guadalajara, el Ariel al “Mejor Cortometraje”, y fue parte de la Selección Oficial Festival de Cannes-Cinéfondation. 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Fue productor de los documentales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El cielo abierto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(2011), de Everardo González,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Los retoños del tiempo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(2013), de Stéphanie Geslin, y del cortometraje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Beyond The Mexican Bay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(2008), de Jean Marc Rousseau- Selección Oficial de la Semana de la Crítica (coproducción México-Francia), entre varios proyectos más.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 docente de realización en el Centro de Capacitación Cinematográfica, A.C. y en la EICVT de San Antonio de los Baños, Cuba. Miembro de la Academia Mexicana de Artes y Ciencias Cinematográficas y ha sido becario del FONCA y del Renew Media para diversos proyectos.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2005 -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violín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2004 -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Tierra caliente... Se mueren los que la mueven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1999 -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Conejo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1998 -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Hay momentos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0C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